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18" w:rsidRPr="0040239D" w:rsidRDefault="00226F18" w:rsidP="00226F18">
      <w:pPr>
        <w:pStyle w:val="Heading1"/>
        <w:rPr>
          <w:b w:val="0"/>
          <w:bCs w:val="0"/>
          <w:color w:val="003072"/>
          <w:szCs w:val="20"/>
          <w:u w:val="single"/>
          <w:lang w:val="en-US" w:eastAsia="fr-BE"/>
        </w:rPr>
      </w:pPr>
      <w:bookmarkStart w:id="0" w:name="_GoBack"/>
      <w:bookmarkEnd w:id="0"/>
      <w:r w:rsidRPr="00C20FCB">
        <w:rPr>
          <w:b w:val="0"/>
          <w:bCs w:val="0"/>
          <w:color w:val="003072"/>
          <w:szCs w:val="20"/>
          <w:u w:val="single"/>
          <w:lang w:val="en-US" w:eastAsia="fr-BE"/>
        </w:rPr>
        <w:t>GUIDELINES AND RULES FOR CLAIMING EXPENSES</w:t>
      </w:r>
    </w:p>
    <w:p w:rsidR="00226F18" w:rsidRPr="0040239D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GB"/>
        </w:rPr>
      </w:pPr>
      <w:r w:rsidRPr="00FD4840">
        <w:rPr>
          <w:rFonts w:ascii="Verdana" w:hAnsi="Verdana"/>
          <w:b/>
          <w:color w:val="003072"/>
          <w:sz w:val="20"/>
          <w:szCs w:val="20"/>
          <w:lang w:val="en-GB"/>
        </w:rPr>
        <w:t>Fill in the Expenses form</w:t>
      </w:r>
      <w:r w:rsidRPr="0040239D">
        <w:rPr>
          <w:rFonts w:ascii="Verdana" w:hAnsi="Verdana"/>
          <w:color w:val="003072"/>
          <w:sz w:val="20"/>
          <w:szCs w:val="20"/>
          <w:lang w:val="en-GB"/>
        </w:rPr>
        <w:t xml:space="preserve"> and send it with all original tickets, boarding cards and receipts:</w:t>
      </w:r>
    </w:p>
    <w:p w:rsidR="00290CF5" w:rsidRPr="00290CF5" w:rsidRDefault="00226F18" w:rsidP="00290CF5">
      <w:pPr>
        <w:pStyle w:val="NormalWeb"/>
        <w:numPr>
          <w:ilvl w:val="0"/>
          <w:numId w:val="4"/>
        </w:numPr>
        <w:jc w:val="both"/>
        <w:rPr>
          <w:rFonts w:ascii="Verdana" w:hAnsi="Verdana"/>
          <w:b/>
          <w:color w:val="003072"/>
          <w:sz w:val="20"/>
          <w:szCs w:val="20"/>
          <w:lang w:val="en-GB"/>
        </w:rPr>
      </w:pPr>
      <w:r w:rsidRPr="00FD4840">
        <w:rPr>
          <w:rFonts w:ascii="Verdana" w:hAnsi="Verdana"/>
          <w:b/>
          <w:color w:val="003072"/>
          <w:sz w:val="20"/>
          <w:szCs w:val="20"/>
          <w:lang w:val="en-GB"/>
        </w:rPr>
        <w:t>straight after the event:</w:t>
      </w:r>
      <w:r w:rsidRPr="0040239D">
        <w:rPr>
          <w:rFonts w:ascii="Verdana" w:hAnsi="Verdana"/>
          <w:color w:val="003072"/>
          <w:sz w:val="20"/>
          <w:szCs w:val="20"/>
          <w:lang w:val="en-GB"/>
        </w:rPr>
        <w:t xml:space="preserve"> by email to </w:t>
      </w:r>
      <w:hyperlink r:id="rId8" w:history="1">
        <w:r w:rsidRPr="00D13007">
          <w:rPr>
            <w:rStyle w:val="Hyperlink"/>
            <w:rFonts w:ascii="Verdana" w:hAnsi="Verdana"/>
            <w:sz w:val="20"/>
            <w:szCs w:val="20"/>
            <w:lang w:val="en-GB"/>
          </w:rPr>
          <w:t>platform@socialplatform.org</w:t>
        </w:r>
      </w:hyperlink>
      <w:r w:rsidR="00290CF5">
        <w:rPr>
          <w:rFonts w:ascii="Verdana" w:hAnsi="Verdana"/>
          <w:color w:val="003072"/>
          <w:sz w:val="20"/>
          <w:szCs w:val="20"/>
          <w:lang w:val="en-GB"/>
        </w:rPr>
        <w:t xml:space="preserve"> – </w:t>
      </w:r>
      <w:r w:rsidRPr="0040239D">
        <w:rPr>
          <w:rFonts w:ascii="Verdana" w:hAnsi="Verdana"/>
          <w:color w:val="003072"/>
          <w:sz w:val="20"/>
          <w:szCs w:val="20"/>
          <w:lang w:val="en-GB"/>
        </w:rPr>
        <w:t>with the scanned versions of all the documents</w:t>
      </w:r>
      <w:r w:rsidR="00290CF5">
        <w:rPr>
          <w:rFonts w:ascii="Verdana" w:hAnsi="Verdana"/>
          <w:color w:val="003072"/>
          <w:sz w:val="20"/>
          <w:szCs w:val="20"/>
          <w:lang w:val="en-GB"/>
        </w:rPr>
        <w:t xml:space="preserve"> </w:t>
      </w:r>
    </w:p>
    <w:p w:rsidR="00226F18" w:rsidRPr="00FD4840" w:rsidRDefault="00226F18" w:rsidP="00290CF5">
      <w:pPr>
        <w:pStyle w:val="NormalWeb"/>
        <w:numPr>
          <w:ilvl w:val="0"/>
          <w:numId w:val="4"/>
        </w:numPr>
        <w:jc w:val="both"/>
        <w:rPr>
          <w:rFonts w:ascii="Verdana" w:hAnsi="Verdana"/>
          <w:color w:val="003072"/>
          <w:sz w:val="20"/>
          <w:szCs w:val="20"/>
          <w:lang w:val="en-GB"/>
        </w:rPr>
      </w:pPr>
      <w:r w:rsidRPr="00FD4840">
        <w:rPr>
          <w:rFonts w:ascii="Verdana" w:hAnsi="Verdana"/>
          <w:b/>
          <w:color w:val="003072"/>
          <w:sz w:val="20"/>
          <w:szCs w:val="20"/>
          <w:lang w:val="en-GB"/>
        </w:rPr>
        <w:t>not later than 1 month after the event:</w:t>
      </w:r>
      <w:r w:rsidRPr="008227AA">
        <w:rPr>
          <w:rFonts w:ascii="Verdana" w:hAnsi="Verdana"/>
          <w:color w:val="003072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3072"/>
          <w:sz w:val="20"/>
          <w:szCs w:val="20"/>
          <w:lang w:val="en-GB"/>
        </w:rPr>
        <w:t>by post to</w:t>
      </w:r>
      <w:r w:rsidRPr="0040239D">
        <w:rPr>
          <w:rFonts w:ascii="Verdana" w:hAnsi="Verdana"/>
          <w:color w:val="003072"/>
          <w:sz w:val="20"/>
          <w:szCs w:val="20"/>
          <w:lang w:val="en-GB"/>
        </w:rPr>
        <w:t xml:space="preserve"> Social Platform, Square de Meeûs 18, 1050 Brussels, Belgium</w:t>
      </w:r>
      <w:r>
        <w:rPr>
          <w:rFonts w:ascii="Verdana" w:hAnsi="Verdana"/>
          <w:color w:val="003072"/>
          <w:sz w:val="20"/>
          <w:szCs w:val="20"/>
          <w:lang w:val="en-GB"/>
        </w:rPr>
        <w:t xml:space="preserve">. </w:t>
      </w:r>
      <w:r w:rsidRPr="00FD4840">
        <w:rPr>
          <w:rFonts w:ascii="Verdana" w:hAnsi="Verdana"/>
          <w:color w:val="003072"/>
          <w:sz w:val="20"/>
          <w:szCs w:val="20"/>
          <w:u w:val="single"/>
          <w:lang w:val="en-US"/>
        </w:rPr>
        <w:t>All original receipts/boarding passes/invoices must be attached.</w:t>
      </w:r>
    </w:p>
    <w:p w:rsidR="00226F18" w:rsidRPr="00C20FCB" w:rsidRDefault="00226F18" w:rsidP="00290CF5">
      <w:pPr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Style w:val="Strong"/>
          <w:rFonts w:ascii="Verdana" w:hAnsi="Verdana"/>
          <w:color w:val="003072"/>
          <w:sz w:val="20"/>
          <w:szCs w:val="20"/>
        </w:rPr>
        <w:t xml:space="preserve">Travel and accommodation </w:t>
      </w:r>
    </w:p>
    <w:p w:rsidR="00226F18" w:rsidRPr="00C20FCB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US"/>
        </w:rPr>
      </w:pPr>
      <w:r w:rsidRPr="00C20FCB">
        <w:rPr>
          <w:rFonts w:ascii="Verdana" w:hAnsi="Verdana"/>
          <w:color w:val="003072"/>
          <w:sz w:val="20"/>
          <w:szCs w:val="20"/>
          <w:lang w:val="en-US"/>
        </w:rPr>
        <w:t xml:space="preserve">Travel, accommodation and subsistence expenses must not exceed the best conditions available on the market nor be superior to the Commission's rules for those expenditures. </w:t>
      </w:r>
    </w:p>
    <w:p w:rsidR="00226F18" w:rsidRPr="00C20FCB" w:rsidRDefault="00226F18" w:rsidP="00290C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color w:val="003072"/>
          <w:sz w:val="20"/>
          <w:szCs w:val="20"/>
          <w:u w:val="single"/>
        </w:rPr>
        <w:t>Travel</w:t>
      </w:r>
      <w:r w:rsidRPr="00C20FCB">
        <w:rPr>
          <w:rFonts w:ascii="Verdana" w:hAnsi="Verdana"/>
          <w:color w:val="003072"/>
          <w:sz w:val="20"/>
          <w:szCs w:val="20"/>
        </w:rPr>
        <w:t xml:space="preserve"> </w:t>
      </w:r>
    </w:p>
    <w:p w:rsidR="00226F18" w:rsidRPr="00C20FCB" w:rsidRDefault="00226F18" w:rsidP="00290CF5">
      <w:pPr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color w:val="003072"/>
          <w:sz w:val="20"/>
          <w:szCs w:val="20"/>
        </w:rPr>
        <w:t xml:space="preserve">Travel expenses will be reimbursed within the following limits: 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3072"/>
          <w:sz w:val="20"/>
          <w:szCs w:val="20"/>
        </w:rPr>
      </w:pPr>
      <w:r w:rsidRPr="00226F18">
        <w:rPr>
          <w:rFonts w:ascii="Verdana" w:hAnsi="Verdana"/>
          <w:color w:val="003072"/>
          <w:sz w:val="20"/>
          <w:szCs w:val="20"/>
        </w:rPr>
        <w:t>the journeys have to be carried out by the most direct and economic route and the return ticket should not exceed 300€;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3072"/>
          <w:sz w:val="20"/>
          <w:szCs w:val="20"/>
        </w:rPr>
      </w:pPr>
      <w:r w:rsidRPr="00226F18">
        <w:rPr>
          <w:rStyle w:val="Emphasis"/>
          <w:rFonts w:ascii="Verdana" w:hAnsi="Verdana"/>
          <w:i w:val="0"/>
          <w:color w:val="003072"/>
          <w:sz w:val="20"/>
          <w:szCs w:val="20"/>
        </w:rPr>
        <w:t>train journeys:</w:t>
      </w:r>
      <w:r w:rsidRPr="00226F18">
        <w:rPr>
          <w:rFonts w:ascii="Verdana" w:hAnsi="Verdana"/>
          <w:color w:val="003072"/>
          <w:sz w:val="20"/>
          <w:szCs w:val="20"/>
        </w:rPr>
        <w:t xml:space="preserve"> second class ticket;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3072"/>
          <w:sz w:val="20"/>
          <w:szCs w:val="20"/>
        </w:rPr>
      </w:pPr>
      <w:r w:rsidRPr="00226F18">
        <w:rPr>
          <w:rStyle w:val="Emphasis"/>
          <w:rFonts w:ascii="Verdana" w:hAnsi="Verdana"/>
          <w:i w:val="0"/>
          <w:color w:val="003072"/>
          <w:sz w:val="20"/>
          <w:szCs w:val="20"/>
        </w:rPr>
        <w:t>air travel</w:t>
      </w:r>
      <w:r w:rsidRPr="00226F18">
        <w:rPr>
          <w:rFonts w:ascii="Verdana" w:hAnsi="Verdana"/>
          <w:color w:val="003072"/>
          <w:sz w:val="20"/>
          <w:szCs w:val="20"/>
        </w:rPr>
        <w:t xml:space="preserve">: special fares (Apex type) will be the normal basis of reference; 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3072"/>
          <w:sz w:val="20"/>
          <w:szCs w:val="20"/>
        </w:rPr>
      </w:pPr>
      <w:r w:rsidRPr="00226F18">
        <w:rPr>
          <w:rStyle w:val="Emphasis"/>
          <w:rFonts w:ascii="Verdana" w:hAnsi="Verdana"/>
          <w:i w:val="0"/>
          <w:color w:val="003072"/>
          <w:sz w:val="20"/>
          <w:szCs w:val="20"/>
        </w:rPr>
        <w:t>car journeys:</w:t>
      </w:r>
      <w:r w:rsidRPr="00226F18">
        <w:rPr>
          <w:rFonts w:ascii="Verdana" w:hAnsi="Verdana"/>
          <w:color w:val="003072"/>
          <w:sz w:val="20"/>
          <w:szCs w:val="20"/>
        </w:rPr>
        <w:t xml:space="preserve"> 0.22 EUR per km driven</w:t>
      </w:r>
      <w:r w:rsidR="00290CF5">
        <w:rPr>
          <w:rFonts w:ascii="Verdana" w:hAnsi="Verdana"/>
          <w:color w:val="003072"/>
          <w:sz w:val="20"/>
          <w:szCs w:val="20"/>
        </w:rPr>
        <w:t>.</w:t>
      </w:r>
      <w:r w:rsidRPr="00226F18">
        <w:rPr>
          <w:rFonts w:ascii="Verdana" w:hAnsi="Verdana"/>
          <w:color w:val="003072"/>
          <w:sz w:val="20"/>
          <w:szCs w:val="20"/>
        </w:rPr>
        <w:t xml:space="preserve"> </w:t>
      </w:r>
    </w:p>
    <w:p w:rsidR="00226F18" w:rsidRPr="00C20FCB" w:rsidRDefault="00226F18" w:rsidP="00290C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color w:val="003072"/>
          <w:sz w:val="20"/>
          <w:szCs w:val="20"/>
          <w:u w:val="single"/>
        </w:rPr>
        <w:t>Subsistence</w:t>
      </w:r>
    </w:p>
    <w:p w:rsidR="00226F18" w:rsidRDefault="00226F18" w:rsidP="00290CF5">
      <w:pPr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color w:val="003072"/>
          <w:sz w:val="20"/>
          <w:szCs w:val="20"/>
        </w:rPr>
        <w:t>Subsistence is allowed if you reside more than 100 km from the place where event is held and covers accommodation and actual expenses on the production of supporting document</w:t>
      </w:r>
      <w:r>
        <w:rPr>
          <w:rFonts w:ascii="Verdana" w:hAnsi="Verdana"/>
          <w:color w:val="003072"/>
          <w:sz w:val="20"/>
          <w:szCs w:val="20"/>
        </w:rPr>
        <w:t>s</w:t>
      </w:r>
      <w:r w:rsidRPr="00C20FCB">
        <w:rPr>
          <w:rFonts w:ascii="Verdana" w:hAnsi="Verdana"/>
          <w:color w:val="003072"/>
          <w:sz w:val="20"/>
          <w:szCs w:val="20"/>
        </w:rPr>
        <w:t xml:space="preserve">. Actual expenses include local public transport and the main meals not included </w:t>
      </w:r>
      <w:r>
        <w:rPr>
          <w:rFonts w:ascii="Verdana" w:hAnsi="Verdana"/>
          <w:color w:val="003072"/>
          <w:sz w:val="20"/>
          <w:szCs w:val="20"/>
        </w:rPr>
        <w:t xml:space="preserve">in the programme of the event. 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iCs/>
          <w:color w:val="003072"/>
          <w:sz w:val="20"/>
          <w:szCs w:val="20"/>
        </w:rPr>
      </w:pPr>
      <w:r w:rsidRPr="00226F18">
        <w:rPr>
          <w:rFonts w:ascii="Verdana" w:hAnsi="Verdana"/>
          <w:iCs/>
          <w:color w:val="003072"/>
          <w:sz w:val="20"/>
          <w:szCs w:val="20"/>
        </w:rPr>
        <w:t xml:space="preserve">Meals will be covered up to 25€ per night spent </w:t>
      </w:r>
      <w:r w:rsidR="00290CF5">
        <w:rPr>
          <w:rFonts w:ascii="Verdana" w:hAnsi="Verdana"/>
          <w:iCs/>
          <w:color w:val="003072"/>
          <w:sz w:val="20"/>
          <w:szCs w:val="20"/>
        </w:rPr>
        <w:t>abroad</w:t>
      </w:r>
      <w:r w:rsidRPr="00226F18">
        <w:rPr>
          <w:rFonts w:ascii="Verdana" w:hAnsi="Verdana"/>
          <w:iCs/>
          <w:color w:val="003072"/>
          <w:sz w:val="20"/>
          <w:szCs w:val="20"/>
        </w:rPr>
        <w:t>.</w:t>
      </w:r>
    </w:p>
    <w:p w:rsidR="00226F18" w:rsidRPr="00226F18" w:rsidRDefault="00290CF5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iCs/>
          <w:color w:val="003072"/>
          <w:sz w:val="20"/>
          <w:szCs w:val="20"/>
        </w:rPr>
      </w:pPr>
      <w:r>
        <w:rPr>
          <w:rFonts w:ascii="Verdana" w:hAnsi="Verdana"/>
          <w:iCs/>
          <w:color w:val="003072"/>
          <w:sz w:val="20"/>
          <w:szCs w:val="20"/>
        </w:rPr>
        <w:t>If your h</w:t>
      </w:r>
      <w:r w:rsidR="00226F18" w:rsidRPr="00226F18">
        <w:rPr>
          <w:rFonts w:ascii="Verdana" w:hAnsi="Verdana"/>
          <w:iCs/>
          <w:color w:val="003072"/>
          <w:sz w:val="20"/>
          <w:szCs w:val="20"/>
        </w:rPr>
        <w:t xml:space="preserve">otel does not include breakfast, this can be covered up to 10€ per night spent </w:t>
      </w:r>
      <w:r>
        <w:rPr>
          <w:rFonts w:ascii="Verdana" w:hAnsi="Verdana"/>
          <w:iCs/>
          <w:color w:val="003072"/>
          <w:sz w:val="20"/>
          <w:szCs w:val="20"/>
        </w:rPr>
        <w:t>abroad</w:t>
      </w:r>
      <w:r w:rsidR="00226F18" w:rsidRPr="00226F18">
        <w:rPr>
          <w:rFonts w:ascii="Verdana" w:hAnsi="Verdana"/>
          <w:iCs/>
          <w:color w:val="003072"/>
          <w:sz w:val="20"/>
          <w:szCs w:val="20"/>
        </w:rPr>
        <w:t xml:space="preserve">. </w:t>
      </w:r>
    </w:p>
    <w:p w:rsidR="00226F18" w:rsidRPr="00226F18" w:rsidRDefault="00226F18" w:rsidP="00290CF5">
      <w:pPr>
        <w:pStyle w:val="ListParagraph"/>
        <w:numPr>
          <w:ilvl w:val="0"/>
          <w:numId w:val="5"/>
        </w:numPr>
        <w:jc w:val="both"/>
        <w:rPr>
          <w:rFonts w:ascii="Verdana" w:hAnsi="Verdana"/>
          <w:iCs/>
          <w:color w:val="003072"/>
          <w:sz w:val="20"/>
          <w:szCs w:val="20"/>
        </w:rPr>
      </w:pPr>
      <w:r w:rsidRPr="00226F18">
        <w:rPr>
          <w:rFonts w:ascii="Verdana" w:hAnsi="Verdana"/>
          <w:iCs/>
          <w:color w:val="003072"/>
          <w:sz w:val="20"/>
          <w:szCs w:val="20"/>
        </w:rPr>
        <w:t>Taxis will only be covered in case of late night arrivals, tight schedule to/from meetings or disabilities.</w:t>
      </w:r>
    </w:p>
    <w:p w:rsidR="00226F18" w:rsidRPr="00C20FCB" w:rsidRDefault="00226F18" w:rsidP="00290C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color w:val="003072"/>
          <w:sz w:val="20"/>
          <w:szCs w:val="20"/>
          <w:u w:val="single"/>
        </w:rPr>
        <w:t>Accommodation</w:t>
      </w:r>
    </w:p>
    <w:p w:rsidR="00226F18" w:rsidRPr="00C20FCB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US"/>
        </w:rPr>
      </w:pPr>
      <w:r w:rsidRPr="00C20FCB">
        <w:rPr>
          <w:rFonts w:ascii="Verdana" w:hAnsi="Verdana"/>
          <w:color w:val="003072"/>
          <w:sz w:val="20"/>
          <w:szCs w:val="20"/>
          <w:lang w:val="en-US"/>
        </w:rPr>
        <w:t xml:space="preserve">The acceptable maximum accommodation cost is determined by the country where the event is held. In Brussels hotel accommodation shall not exceed € 110 per night. For each meeting one night will be covered by the Social Platform. </w:t>
      </w:r>
    </w:p>
    <w:p w:rsidR="00226F18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US"/>
        </w:rPr>
      </w:pPr>
      <w:r w:rsidRPr="00C20FCB">
        <w:rPr>
          <w:rFonts w:ascii="Verdana" w:hAnsi="Verdana"/>
          <w:color w:val="003072"/>
          <w:sz w:val="20"/>
          <w:szCs w:val="20"/>
          <w:lang w:val="en-US"/>
        </w:rPr>
        <w:t xml:space="preserve">Hotel reservations are to be done by participants themselves. On the websites </w:t>
      </w:r>
      <w:hyperlink r:id="rId9" w:history="1">
        <w:r w:rsidRPr="00866E49">
          <w:rPr>
            <w:rStyle w:val="Hyperlink"/>
            <w:rFonts w:ascii="Verdana" w:hAnsi="Verdana"/>
            <w:sz w:val="20"/>
            <w:szCs w:val="20"/>
            <w:lang w:val="en-US"/>
          </w:rPr>
          <w:t>Rates to Go</w:t>
        </w:r>
      </w:hyperlink>
      <w:r w:rsidRPr="00C20FCB">
        <w:rPr>
          <w:rFonts w:ascii="Verdana" w:hAnsi="Verdana"/>
          <w:color w:val="003072"/>
          <w:sz w:val="20"/>
          <w:szCs w:val="20"/>
          <w:lang w:val="en-US"/>
        </w:rPr>
        <w:t xml:space="preserve"> and </w:t>
      </w:r>
      <w:hyperlink r:id="rId10" w:tgtFrame="_blank" w:history="1">
        <w:r w:rsidRPr="00C20FCB">
          <w:rPr>
            <w:rStyle w:val="Hyperlink"/>
            <w:rFonts w:ascii="Verdana" w:hAnsi="Verdana"/>
            <w:sz w:val="20"/>
            <w:szCs w:val="20"/>
            <w:lang w:val="en-US"/>
          </w:rPr>
          <w:t>Booking.com</w:t>
        </w:r>
      </w:hyperlink>
      <w:r w:rsidRPr="00C20FCB">
        <w:rPr>
          <w:rFonts w:ascii="Verdana" w:hAnsi="Verdana"/>
          <w:color w:val="003072"/>
          <w:sz w:val="20"/>
          <w:szCs w:val="20"/>
          <w:lang w:val="en-US"/>
        </w:rPr>
        <w:t xml:space="preserve"> you can book best rates Hotel rooms.</w:t>
      </w:r>
    </w:p>
    <w:p w:rsidR="00226F18" w:rsidRPr="00C20FCB" w:rsidRDefault="00226F18" w:rsidP="00290CF5">
      <w:pPr>
        <w:jc w:val="both"/>
        <w:rPr>
          <w:rFonts w:ascii="Verdana" w:hAnsi="Verdana"/>
          <w:color w:val="003072"/>
          <w:sz w:val="20"/>
          <w:szCs w:val="20"/>
        </w:rPr>
      </w:pPr>
      <w:r w:rsidRPr="00C20FCB">
        <w:rPr>
          <w:rFonts w:ascii="Verdana" w:hAnsi="Verdana"/>
          <w:b/>
          <w:bCs/>
          <w:color w:val="003072"/>
          <w:sz w:val="20"/>
          <w:szCs w:val="20"/>
        </w:rPr>
        <w:t>Exchange rates</w:t>
      </w:r>
      <w:r w:rsidRPr="00C20FCB">
        <w:rPr>
          <w:rFonts w:ascii="Verdana" w:hAnsi="Verdana"/>
          <w:color w:val="003072"/>
          <w:sz w:val="20"/>
          <w:szCs w:val="20"/>
        </w:rPr>
        <w:t xml:space="preserve"> </w:t>
      </w:r>
    </w:p>
    <w:p w:rsidR="00226F18" w:rsidRPr="00C20FCB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US"/>
        </w:rPr>
      </w:pPr>
      <w:r w:rsidRPr="00C20FCB">
        <w:rPr>
          <w:rFonts w:ascii="Verdana" w:hAnsi="Verdana"/>
          <w:color w:val="003072"/>
          <w:sz w:val="20"/>
          <w:szCs w:val="20"/>
          <w:lang w:val="en-US"/>
        </w:rPr>
        <w:t>The official monthly exchange rate of the European Commission is available</w:t>
      </w:r>
      <w:r>
        <w:rPr>
          <w:rFonts w:ascii="Verdana" w:hAnsi="Verdana"/>
          <w:color w:val="003072"/>
          <w:sz w:val="20"/>
          <w:szCs w:val="20"/>
          <w:lang w:val="en-US"/>
        </w:rPr>
        <w:t xml:space="preserve"> </w:t>
      </w:r>
      <w:hyperlink r:id="rId11" w:tgtFrame="_blank" w:history="1">
        <w:r w:rsidRPr="00C20FCB">
          <w:rPr>
            <w:rStyle w:val="Hyperlink"/>
            <w:rFonts w:ascii="Verdana" w:hAnsi="Verdana"/>
            <w:sz w:val="20"/>
            <w:szCs w:val="20"/>
            <w:lang w:val="en-US"/>
          </w:rPr>
          <w:t>on this webpage.</w:t>
        </w:r>
      </w:hyperlink>
    </w:p>
    <w:p w:rsidR="00226F18" w:rsidRPr="00C20FCB" w:rsidRDefault="00226F18" w:rsidP="00290CF5">
      <w:pPr>
        <w:pStyle w:val="NormalWeb"/>
        <w:jc w:val="both"/>
        <w:rPr>
          <w:rFonts w:ascii="Verdana" w:hAnsi="Verdana"/>
          <w:color w:val="003072"/>
          <w:sz w:val="20"/>
          <w:szCs w:val="20"/>
          <w:lang w:val="en-US"/>
        </w:rPr>
      </w:pPr>
      <w:r w:rsidRPr="00C20FCB">
        <w:rPr>
          <w:rFonts w:ascii="Verdana" w:hAnsi="Verdana"/>
          <w:color w:val="003072"/>
          <w:sz w:val="20"/>
          <w:szCs w:val="20"/>
          <w:lang w:val="en-US"/>
        </w:rPr>
        <w:t>Please use the exchange rate corresponding to the month in which you have done your payment.</w:t>
      </w:r>
    </w:p>
    <w:p w:rsidR="00226F18" w:rsidRPr="00C20FCB" w:rsidRDefault="00226F18" w:rsidP="00290CF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:rsidR="00A02E12" w:rsidRPr="00226F18" w:rsidRDefault="00A02E12" w:rsidP="00290CF5">
      <w:pPr>
        <w:jc w:val="both"/>
        <w:rPr>
          <w:lang w:val="en-US"/>
        </w:rPr>
      </w:pPr>
    </w:p>
    <w:sectPr w:rsidR="00A02E12" w:rsidRPr="00226F18">
      <w:headerReference w:type="default" r:id="rId12"/>
      <w:pgSz w:w="11906" w:h="16838"/>
      <w:pgMar w:top="1701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84" w:rsidRDefault="00154D84">
      <w:r>
        <w:separator/>
      </w:r>
    </w:p>
  </w:endnote>
  <w:endnote w:type="continuationSeparator" w:id="0">
    <w:p w:rsidR="00154D84" w:rsidRDefault="001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84" w:rsidRDefault="00154D84">
      <w:r>
        <w:separator/>
      </w:r>
    </w:p>
  </w:footnote>
  <w:footnote w:type="continuationSeparator" w:id="0">
    <w:p w:rsidR="00154D84" w:rsidRDefault="0015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1" w:rsidRDefault="00226F18" w:rsidP="00744FA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86200" cy="800100"/>
          <wp:effectExtent l="0" t="0" r="0" b="0"/>
          <wp:docPr id="1" name="Picture 1" descr="Z:\Communication\Logos\Social Platform\SP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s\Social Platform\SP logo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47"/>
    <w:multiLevelType w:val="hybridMultilevel"/>
    <w:tmpl w:val="92205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220"/>
    <w:multiLevelType w:val="hybridMultilevel"/>
    <w:tmpl w:val="FE2EBD72"/>
    <w:lvl w:ilvl="0" w:tplc="DBE68B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DFD"/>
    <w:multiLevelType w:val="multilevel"/>
    <w:tmpl w:val="82D0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E75ED"/>
    <w:multiLevelType w:val="multilevel"/>
    <w:tmpl w:val="CBB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748B"/>
    <w:multiLevelType w:val="hybridMultilevel"/>
    <w:tmpl w:val="B97450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3F2"/>
    <w:multiLevelType w:val="multilevel"/>
    <w:tmpl w:val="F66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18"/>
    <w:rsid w:val="00154D84"/>
    <w:rsid w:val="00226F18"/>
    <w:rsid w:val="00290CF5"/>
    <w:rsid w:val="00A02E12"/>
    <w:rsid w:val="00B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F18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F18"/>
    <w:rPr>
      <w:rFonts w:ascii="Verdana" w:eastAsia="Times New Roman" w:hAnsi="Verdana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226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6F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26F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F18"/>
    <w:pPr>
      <w:spacing w:before="100" w:beforeAutospacing="1" w:after="100" w:afterAutospacing="1"/>
    </w:pPr>
    <w:rPr>
      <w:lang w:val="fr-BE" w:eastAsia="fr-BE"/>
    </w:rPr>
  </w:style>
  <w:style w:type="character" w:styleId="Strong">
    <w:name w:val="Strong"/>
    <w:uiPriority w:val="22"/>
    <w:qFormat/>
    <w:rsid w:val="00226F18"/>
    <w:rPr>
      <w:b/>
      <w:bCs/>
    </w:rPr>
  </w:style>
  <w:style w:type="character" w:styleId="Emphasis">
    <w:name w:val="Emphasis"/>
    <w:uiPriority w:val="20"/>
    <w:qFormat/>
    <w:rsid w:val="00226F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F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F18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F18"/>
    <w:rPr>
      <w:rFonts w:ascii="Verdana" w:eastAsia="Times New Roman" w:hAnsi="Verdana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226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6F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26F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F18"/>
    <w:pPr>
      <w:spacing w:before="100" w:beforeAutospacing="1" w:after="100" w:afterAutospacing="1"/>
    </w:pPr>
    <w:rPr>
      <w:lang w:val="fr-BE" w:eastAsia="fr-BE"/>
    </w:rPr>
  </w:style>
  <w:style w:type="character" w:styleId="Strong">
    <w:name w:val="Strong"/>
    <w:uiPriority w:val="22"/>
    <w:qFormat/>
    <w:rsid w:val="00226F18"/>
    <w:rPr>
      <w:b/>
      <w:bCs/>
    </w:rPr>
  </w:style>
  <w:style w:type="character" w:styleId="Emphasis">
    <w:name w:val="Emphasis"/>
    <w:uiPriority w:val="20"/>
    <w:qFormat/>
    <w:rsid w:val="00226F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F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form@socialplatform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budget/inforeuro/index.cfm?Language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g.com/index.html?selected_currency=hotel_currency&amp;aid=303948&amp;label=bookings-naam-FAz34gfIGoTP2yMwgQI8*AS4013691321&amp;sid=3f597632d0d3c5fb4473fd0dfd000638&amp;lang=en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estogo.com/fr_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Papageorgiou</dc:creator>
  <cp:lastModifiedBy>Helen Joseph</cp:lastModifiedBy>
  <cp:revision>2</cp:revision>
  <dcterms:created xsi:type="dcterms:W3CDTF">2016-02-05T14:09:00Z</dcterms:created>
  <dcterms:modified xsi:type="dcterms:W3CDTF">2016-02-05T14:09:00Z</dcterms:modified>
</cp:coreProperties>
</file>