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Y="1456"/>
        <w:tblW w:w="14425" w:type="dxa"/>
        <w:tblLook w:val="04A0" w:firstRow="1" w:lastRow="0" w:firstColumn="1" w:lastColumn="0" w:noHBand="0" w:noVBand="1"/>
      </w:tblPr>
      <w:tblGrid>
        <w:gridCol w:w="4808"/>
        <w:gridCol w:w="4808"/>
        <w:gridCol w:w="4809"/>
      </w:tblGrid>
      <w:tr w:rsidR="009D066F" w:rsidRPr="00A0709F" w:rsidTr="009D066F">
        <w:trPr>
          <w:trHeight w:val="421"/>
        </w:trPr>
        <w:tc>
          <w:tcPr>
            <w:tcW w:w="4808" w:type="dxa"/>
            <w:shd w:val="clear" w:color="auto" w:fill="D9D9D9" w:themeFill="background1" w:themeFillShade="D9"/>
          </w:tcPr>
          <w:p w:rsidR="009D066F" w:rsidRPr="00A0709F" w:rsidRDefault="009D066F" w:rsidP="009D066F">
            <w:pPr>
              <w:jc w:val="center"/>
            </w:pPr>
            <w:r w:rsidRPr="00A0709F">
              <w:t>Social Platform</w:t>
            </w:r>
          </w:p>
        </w:tc>
        <w:tc>
          <w:tcPr>
            <w:tcW w:w="4808" w:type="dxa"/>
            <w:shd w:val="clear" w:color="auto" w:fill="D9D9D9" w:themeFill="background1" w:themeFillShade="D9"/>
          </w:tcPr>
          <w:p w:rsidR="009D066F" w:rsidRPr="00A0709F" w:rsidRDefault="009D066F" w:rsidP="009D066F">
            <w:pPr>
              <w:jc w:val="center"/>
            </w:pPr>
            <w:r w:rsidRPr="00A0709F">
              <w:t>ETUC</w:t>
            </w:r>
          </w:p>
        </w:tc>
        <w:tc>
          <w:tcPr>
            <w:tcW w:w="4809" w:type="dxa"/>
            <w:shd w:val="clear" w:color="auto" w:fill="D9D9D9" w:themeFill="background1" w:themeFillShade="D9"/>
          </w:tcPr>
          <w:p w:rsidR="009D066F" w:rsidRPr="00A0709F" w:rsidRDefault="009D066F" w:rsidP="009D066F">
            <w:pPr>
              <w:jc w:val="center"/>
            </w:pPr>
            <w:r w:rsidRPr="00A0709F">
              <w:t>ILO</w:t>
            </w:r>
          </w:p>
        </w:tc>
      </w:tr>
      <w:tr w:rsidR="009D066F" w:rsidRPr="00853A0A" w:rsidTr="00A0709F">
        <w:trPr>
          <w:trHeight w:val="5654"/>
        </w:trPr>
        <w:tc>
          <w:tcPr>
            <w:tcW w:w="4808" w:type="dxa"/>
          </w:tcPr>
          <w:p w:rsidR="00B30123" w:rsidRPr="00A0709F" w:rsidRDefault="00B30123" w:rsidP="00BF751E">
            <w:pPr>
              <w:jc w:val="both"/>
              <w:rPr>
                <w:u w:val="single"/>
                <w:lang w:val="en-US"/>
              </w:rPr>
            </w:pPr>
          </w:p>
          <w:p w:rsidR="009D066F" w:rsidRPr="00A0709F" w:rsidRDefault="009D066F" w:rsidP="00BF751E">
            <w:pPr>
              <w:jc w:val="both"/>
              <w:rPr>
                <w:lang w:val="en-US"/>
              </w:rPr>
            </w:pPr>
            <w:proofErr w:type="gramStart"/>
            <w:r w:rsidRPr="00A0709F">
              <w:rPr>
                <w:b/>
                <w:u w:val="single"/>
                <w:lang w:val="en-US"/>
              </w:rPr>
              <w:t>Coverage :</w:t>
            </w:r>
            <w:proofErr w:type="gramEnd"/>
            <w:r w:rsidR="00BF751E" w:rsidRPr="00A0709F">
              <w:rPr>
                <w:lang w:val="en-US"/>
              </w:rPr>
              <w:t xml:space="preserve"> “Set </w:t>
            </w:r>
            <w:r w:rsidR="00BF751E" w:rsidRPr="00A0709F">
              <w:rPr>
                <w:b/>
                <w:lang w:val="en-US"/>
              </w:rPr>
              <w:t>common approaches on coverage,</w:t>
            </w:r>
            <w:r w:rsidR="00BF751E" w:rsidRPr="00A0709F">
              <w:rPr>
                <w:lang w:val="en-US"/>
              </w:rPr>
              <w:t xml:space="preserve"> </w:t>
            </w:r>
            <w:r w:rsidR="00BF751E" w:rsidRPr="00A0709F">
              <w:rPr>
                <w:b/>
                <w:lang w:val="en-US"/>
              </w:rPr>
              <w:t>avoiding exceptions and backdoors</w:t>
            </w:r>
            <w:r w:rsidR="00BF751E" w:rsidRPr="00A0709F">
              <w:rPr>
                <w:lang w:val="en-US"/>
              </w:rPr>
              <w:t>, and efforts to ensure take-up and common information requirements</w:t>
            </w:r>
            <w:r w:rsidR="00853A0A">
              <w:rPr>
                <w:lang w:val="en-US"/>
              </w:rPr>
              <w:t>.</w:t>
            </w:r>
            <w:r w:rsidR="00BF751E" w:rsidRPr="00A0709F">
              <w:rPr>
                <w:lang w:val="en-US"/>
              </w:rPr>
              <w:t>”</w:t>
            </w:r>
            <w:r w:rsidR="00BF751E" w:rsidRPr="00A0709F">
              <w:rPr>
                <w:rStyle w:val="FootnoteReference"/>
                <w:lang w:val="en-US"/>
              </w:rPr>
              <w:footnoteReference w:id="1"/>
            </w: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u w:val="single"/>
                <w:lang w:val="en-US"/>
              </w:rPr>
            </w:pPr>
          </w:p>
          <w:p w:rsidR="00285F8D" w:rsidRPr="00A0709F" w:rsidRDefault="00285F8D" w:rsidP="009D066F">
            <w:pPr>
              <w:rPr>
                <w:u w:val="single"/>
                <w:lang w:val="en-US"/>
              </w:rPr>
            </w:pPr>
          </w:p>
          <w:p w:rsidR="00285F8D" w:rsidRPr="00A0709F" w:rsidRDefault="00285F8D" w:rsidP="009D066F">
            <w:pPr>
              <w:rPr>
                <w:u w:val="single"/>
                <w:lang w:val="en-US"/>
              </w:rPr>
            </w:pPr>
            <w:proofErr w:type="gramStart"/>
            <w:r w:rsidRPr="00A0709F">
              <w:rPr>
                <w:b/>
                <w:u w:val="single"/>
                <w:lang w:val="en-US"/>
              </w:rPr>
              <w:t>Level :</w:t>
            </w:r>
            <w:proofErr w:type="gramEnd"/>
            <w:r w:rsidRPr="00A0709F">
              <w:rPr>
                <w:u w:val="single"/>
                <w:lang w:val="en-US"/>
              </w:rPr>
              <w:t xml:space="preserve"> </w:t>
            </w:r>
            <w:r w:rsidR="00787989" w:rsidRPr="00A0709F">
              <w:rPr>
                <w:lang w:val="en-US"/>
              </w:rPr>
              <w:t xml:space="preserve"> “Set common methodologies for defining adequacy (e.g. </w:t>
            </w:r>
            <w:r w:rsidR="00787989" w:rsidRPr="00A0709F">
              <w:rPr>
                <w:b/>
                <w:lang w:val="en-US"/>
              </w:rPr>
              <w:t>60% at risk of poverty indicator, material deprivation, reference budgets</w:t>
            </w:r>
            <w:r w:rsidR="00787989" w:rsidRPr="00A0709F">
              <w:rPr>
                <w:lang w:val="en-US"/>
              </w:rPr>
              <w:t>)</w:t>
            </w:r>
            <w:r w:rsidR="00853A0A">
              <w:rPr>
                <w:lang w:val="en-US"/>
              </w:rPr>
              <w:t>.</w:t>
            </w:r>
            <w:r w:rsidR="00787989" w:rsidRPr="00A0709F">
              <w:rPr>
                <w:lang w:val="en-US"/>
              </w:rPr>
              <w:t>”</w:t>
            </w:r>
            <w:r w:rsidR="00787989" w:rsidRPr="00A0709F">
              <w:rPr>
                <w:rStyle w:val="FootnoteReference"/>
                <w:lang w:val="en-US"/>
              </w:rPr>
              <w:footnoteReference w:id="2"/>
            </w:r>
          </w:p>
          <w:p w:rsidR="004052FB" w:rsidRPr="00A0709F" w:rsidRDefault="004052FB" w:rsidP="009D066F">
            <w:pPr>
              <w:rPr>
                <w:u w:val="single"/>
                <w:lang w:val="en-US"/>
              </w:rPr>
            </w:pPr>
          </w:p>
          <w:p w:rsidR="00787989" w:rsidRPr="00A0709F" w:rsidRDefault="00787989" w:rsidP="002D3EBF">
            <w:pPr>
              <w:jc w:val="both"/>
              <w:rPr>
                <w:u w:val="single"/>
                <w:lang w:val="en-US"/>
              </w:rPr>
            </w:pPr>
          </w:p>
          <w:p w:rsidR="00787989" w:rsidRPr="00A0709F" w:rsidRDefault="00787989" w:rsidP="002D3EBF">
            <w:pPr>
              <w:jc w:val="both"/>
              <w:rPr>
                <w:u w:val="single"/>
                <w:lang w:val="en-US"/>
              </w:rPr>
            </w:pPr>
          </w:p>
          <w:p w:rsidR="00787989" w:rsidRPr="00A0709F" w:rsidRDefault="00787989"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BF751E" w:rsidRPr="00A0709F" w:rsidRDefault="00BF751E" w:rsidP="002D3EBF">
            <w:pPr>
              <w:jc w:val="both"/>
              <w:rPr>
                <w:u w:val="single"/>
                <w:lang w:val="en-US"/>
              </w:rPr>
            </w:pPr>
          </w:p>
          <w:p w:rsidR="004052FB" w:rsidRPr="00A0709F" w:rsidRDefault="004052FB" w:rsidP="002D3EBF">
            <w:pPr>
              <w:jc w:val="both"/>
              <w:rPr>
                <w:u w:val="single"/>
                <w:lang w:val="en-US"/>
              </w:rPr>
            </w:pPr>
            <w:proofErr w:type="gramStart"/>
            <w:r w:rsidRPr="00A0709F">
              <w:rPr>
                <w:b/>
                <w:u w:val="single"/>
                <w:lang w:val="en-US"/>
              </w:rPr>
              <w:t>Instrument :</w:t>
            </w:r>
            <w:proofErr w:type="gramEnd"/>
            <w:r w:rsidRPr="00A0709F">
              <w:rPr>
                <w:lang w:val="en-US"/>
              </w:rPr>
              <w:t xml:space="preserve"> </w:t>
            </w:r>
            <w:r w:rsidR="002D3EBF" w:rsidRPr="00A0709F">
              <w:rPr>
                <w:lang w:val="en-US"/>
              </w:rPr>
              <w:t xml:space="preserve">“We call for the adoption of an </w:t>
            </w:r>
            <w:r w:rsidR="002D3EBF" w:rsidRPr="00A0709F">
              <w:rPr>
                <w:b/>
                <w:lang w:val="en-US"/>
              </w:rPr>
              <w:t>EU  framework directive</w:t>
            </w:r>
            <w:r w:rsidR="002D3EBF" w:rsidRPr="00A0709F">
              <w:rPr>
                <w:lang w:val="en-US"/>
              </w:rPr>
              <w:t xml:space="preserve"> </w:t>
            </w:r>
            <w:r w:rsidR="002D3EBF" w:rsidRPr="00C803A8">
              <w:rPr>
                <w:b/>
                <w:lang w:val="en-US"/>
              </w:rPr>
              <w:t>on Adequate Minimum Income Schemes</w:t>
            </w:r>
            <w:r w:rsidR="002D3EBF" w:rsidRPr="00A0709F">
              <w:rPr>
                <w:lang w:val="en-US"/>
              </w:rPr>
              <w:t xml:space="preserve"> that establishes common principles, definitions and methods, to achieve a level playing field across Europe.”</w:t>
            </w:r>
            <w:r w:rsidR="002D3EBF" w:rsidRPr="00A0709F">
              <w:rPr>
                <w:rStyle w:val="FootnoteReference"/>
                <w:lang w:val="en-US"/>
              </w:rPr>
              <w:footnoteReference w:id="3"/>
            </w:r>
          </w:p>
        </w:tc>
        <w:tc>
          <w:tcPr>
            <w:tcW w:w="4808" w:type="dxa"/>
          </w:tcPr>
          <w:p w:rsidR="002D3EBF" w:rsidRPr="00A0709F" w:rsidRDefault="002D3EBF" w:rsidP="009D066F">
            <w:pPr>
              <w:rPr>
                <w:u w:val="single"/>
                <w:lang w:val="en-US"/>
              </w:rPr>
            </w:pPr>
          </w:p>
          <w:p w:rsidR="009D066F" w:rsidRPr="00A0709F" w:rsidRDefault="009D066F" w:rsidP="00BF751E">
            <w:pPr>
              <w:jc w:val="both"/>
              <w:rPr>
                <w:lang w:val="en-US"/>
              </w:rPr>
            </w:pPr>
            <w:proofErr w:type="gramStart"/>
            <w:r w:rsidRPr="00A0709F">
              <w:rPr>
                <w:b/>
                <w:u w:val="single"/>
                <w:lang w:val="en-US"/>
              </w:rPr>
              <w:t>Coverage :</w:t>
            </w:r>
            <w:proofErr w:type="gramEnd"/>
            <w:r w:rsidR="00787989" w:rsidRPr="00A0709F">
              <w:rPr>
                <w:u w:val="single"/>
                <w:lang w:val="en-US"/>
              </w:rPr>
              <w:t xml:space="preserve"> </w:t>
            </w:r>
            <w:r w:rsidR="00BF751E" w:rsidRPr="00A0709F">
              <w:rPr>
                <w:lang w:val="en-US"/>
              </w:rPr>
              <w:t xml:space="preserve"> Common European principles should be agreed to ensure a decent standard of guaranteed income </w:t>
            </w:r>
            <w:r w:rsidR="00BF751E" w:rsidRPr="00A0709F">
              <w:rPr>
                <w:b/>
                <w:lang w:val="en-US"/>
              </w:rPr>
              <w:t>for everyone in the EU</w:t>
            </w:r>
            <w:r w:rsidR="00BF751E" w:rsidRPr="00A0709F">
              <w:rPr>
                <w:lang w:val="en-US"/>
              </w:rPr>
              <w:t xml:space="preserve"> taking into account that such schemes need to be inclusive and embedded in a broader EU and national policy response while combining income support with active inclusion and access to quality services</w:t>
            </w:r>
            <w:r w:rsidR="00853A0A">
              <w:rPr>
                <w:lang w:val="en-US"/>
              </w:rPr>
              <w:t>.</w:t>
            </w:r>
            <w:r w:rsidR="00BF751E" w:rsidRPr="00A0709F">
              <w:rPr>
                <w:lang w:val="en-US"/>
              </w:rPr>
              <w:t>”</w:t>
            </w: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BF751E" w:rsidRPr="00A0709F" w:rsidRDefault="00BF751E" w:rsidP="00BF751E">
            <w:pPr>
              <w:jc w:val="both"/>
              <w:rPr>
                <w:lang w:val="en-US"/>
              </w:rPr>
            </w:pPr>
          </w:p>
          <w:p w:rsidR="00285F8D" w:rsidRPr="00A0709F" w:rsidRDefault="00285F8D" w:rsidP="009D066F">
            <w:pPr>
              <w:rPr>
                <w:u w:val="single"/>
                <w:lang w:val="en-US"/>
              </w:rPr>
            </w:pPr>
          </w:p>
          <w:p w:rsidR="00285F8D" w:rsidRPr="00A0709F" w:rsidRDefault="00285F8D" w:rsidP="00285F8D">
            <w:pPr>
              <w:jc w:val="both"/>
              <w:rPr>
                <w:lang w:val="en-US"/>
              </w:rPr>
            </w:pPr>
            <w:proofErr w:type="gramStart"/>
            <w:r w:rsidRPr="00A0709F">
              <w:rPr>
                <w:b/>
                <w:u w:val="single"/>
                <w:lang w:val="en-US"/>
              </w:rPr>
              <w:t>Level :</w:t>
            </w:r>
            <w:proofErr w:type="gramEnd"/>
            <w:r w:rsidRPr="00A0709F">
              <w:rPr>
                <w:lang w:val="en-US"/>
              </w:rPr>
              <w:t xml:space="preserve"> “Not all countries have a minimum income scheme. Minimum income schemes, </w:t>
            </w:r>
            <w:r w:rsidRPr="00A0709F">
              <w:rPr>
                <w:b/>
                <w:lang w:val="en-US"/>
              </w:rPr>
              <w:t>at an adequate level</w:t>
            </w:r>
            <w:r w:rsidRPr="00A0709F">
              <w:rPr>
                <w:lang w:val="en-US"/>
              </w:rPr>
              <w:t>, should be introduced in all national social protection legislation.”</w:t>
            </w:r>
            <w:r w:rsidRPr="00A0709F">
              <w:rPr>
                <w:rStyle w:val="FootnoteReference"/>
                <w:lang w:val="en-US"/>
              </w:rPr>
              <w:footnoteReference w:id="4"/>
            </w:r>
          </w:p>
          <w:p w:rsidR="004052FB" w:rsidRPr="00A0709F" w:rsidRDefault="004052FB"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BF751E" w:rsidRPr="00A0709F" w:rsidRDefault="00BF751E" w:rsidP="009D066F">
            <w:pPr>
              <w:rPr>
                <w:u w:val="single"/>
                <w:lang w:val="en-US"/>
              </w:rPr>
            </w:pPr>
          </w:p>
          <w:p w:rsidR="004052FB" w:rsidRPr="00A0709F" w:rsidRDefault="004052FB" w:rsidP="004052FB">
            <w:pPr>
              <w:jc w:val="both"/>
              <w:rPr>
                <w:lang w:val="en-US"/>
              </w:rPr>
            </w:pPr>
            <w:proofErr w:type="gramStart"/>
            <w:r w:rsidRPr="00A0709F">
              <w:rPr>
                <w:b/>
                <w:u w:val="single"/>
                <w:lang w:val="en-US"/>
              </w:rPr>
              <w:t>Instrument :</w:t>
            </w:r>
            <w:proofErr w:type="gramEnd"/>
            <w:r w:rsidRPr="00A0709F">
              <w:rPr>
                <w:u w:val="single"/>
                <w:lang w:val="en-US"/>
              </w:rPr>
              <w:t xml:space="preserve"> </w:t>
            </w:r>
            <w:r w:rsidRPr="00A0709F">
              <w:rPr>
                <w:lang w:val="en-US"/>
              </w:rPr>
              <w:t xml:space="preserve"> “</w:t>
            </w:r>
            <w:r w:rsidR="00C803A8" w:rsidRPr="00C803A8">
              <w:rPr>
                <w:b/>
                <w:lang w:val="en-US"/>
              </w:rPr>
              <w:t>A European Directive on adequate minimum income schemes</w:t>
            </w:r>
            <w:r w:rsidR="00C803A8" w:rsidRPr="00C803A8">
              <w:rPr>
                <w:lang w:val="en-US"/>
              </w:rPr>
              <w:t xml:space="preserve"> to establish common principles, definitions and methods to</w:t>
            </w:r>
            <w:r w:rsidR="00C803A8">
              <w:rPr>
                <w:lang w:val="en-US"/>
              </w:rPr>
              <w:t xml:space="preserve"> grant rights throughout the EU</w:t>
            </w:r>
            <w:r w:rsidRPr="00A0709F">
              <w:rPr>
                <w:lang w:val="en-US"/>
              </w:rPr>
              <w:t>.”</w:t>
            </w:r>
            <w:r w:rsidRPr="00A0709F">
              <w:rPr>
                <w:rStyle w:val="FootnoteReference"/>
                <w:lang w:val="en-US"/>
              </w:rPr>
              <w:footnoteReference w:id="5"/>
            </w:r>
          </w:p>
          <w:p w:rsidR="004052FB" w:rsidRPr="00A0709F" w:rsidRDefault="004052FB" w:rsidP="009D066F">
            <w:pPr>
              <w:rPr>
                <w:lang w:val="en-US"/>
              </w:rPr>
            </w:pPr>
          </w:p>
        </w:tc>
        <w:tc>
          <w:tcPr>
            <w:tcW w:w="4809" w:type="dxa"/>
          </w:tcPr>
          <w:p w:rsidR="00756E7E" w:rsidRPr="00A0709F" w:rsidRDefault="00756E7E" w:rsidP="00756E7E">
            <w:pPr>
              <w:jc w:val="both"/>
              <w:rPr>
                <w:u w:val="single"/>
                <w:lang w:val="en-US"/>
              </w:rPr>
            </w:pPr>
          </w:p>
          <w:p w:rsidR="00787989" w:rsidRPr="00A0709F" w:rsidRDefault="00787989" w:rsidP="00756E7E">
            <w:pPr>
              <w:jc w:val="both"/>
              <w:rPr>
                <w:u w:val="single"/>
                <w:lang w:val="en-US"/>
              </w:rPr>
            </w:pPr>
            <w:proofErr w:type="gramStart"/>
            <w:r w:rsidRPr="00A0709F">
              <w:rPr>
                <w:b/>
                <w:u w:val="single"/>
                <w:lang w:val="en-US"/>
              </w:rPr>
              <w:t>Coverage :</w:t>
            </w:r>
            <w:proofErr w:type="gramEnd"/>
            <w:r w:rsidRPr="00A0709F">
              <w:rPr>
                <w:lang w:val="en-US"/>
              </w:rPr>
              <w:t xml:space="preserve"> </w:t>
            </w:r>
            <w:r w:rsidR="00BF751E" w:rsidRPr="00A0709F">
              <w:rPr>
                <w:lang w:val="en-US"/>
              </w:rPr>
              <w:t xml:space="preserve">Principle of </w:t>
            </w:r>
            <w:r w:rsidR="00BF751E" w:rsidRPr="00A0709F">
              <w:rPr>
                <w:b/>
                <w:lang w:val="en-US"/>
              </w:rPr>
              <w:t>u</w:t>
            </w:r>
            <w:r w:rsidRPr="00A0709F">
              <w:rPr>
                <w:b/>
                <w:lang w:val="en-US"/>
              </w:rPr>
              <w:t>niversality of coverage</w:t>
            </w:r>
            <w:r w:rsidRPr="00A0709F">
              <w:rPr>
                <w:lang w:val="en-US"/>
              </w:rPr>
              <w:t xml:space="preserve">: “The Social Protection Floors Recommendation, 2012 (No. 202) provides guidance on closing social security gaps and achieving </w:t>
            </w:r>
            <w:r w:rsidRPr="00853A0A">
              <w:rPr>
                <w:b/>
                <w:lang w:val="en-US"/>
              </w:rPr>
              <w:t>universal coverage</w:t>
            </w:r>
            <w:r w:rsidRPr="00A0709F">
              <w:rPr>
                <w:lang w:val="en-US"/>
              </w:rPr>
              <w:t xml:space="preserve"> through the establishment and maintenance of comprehensive social secu</w:t>
            </w:r>
            <w:r w:rsidRPr="00A0709F">
              <w:rPr>
                <w:lang w:val="en-US"/>
              </w:rPr>
              <w:softHyphen/>
              <w:t xml:space="preserve">rity systems. It calls upon </w:t>
            </w:r>
            <w:r w:rsidRPr="00853A0A">
              <w:rPr>
                <w:lang w:val="en-US"/>
              </w:rPr>
              <w:t>governments to ensure the coverage of as many people as possible, at least</w:t>
            </w:r>
            <w:r w:rsidRPr="00A0709F">
              <w:rPr>
                <w:lang w:val="en-US"/>
              </w:rPr>
              <w:t xml:space="preserve"> at a minimum level, and to progressively reach higher levels of protection. Ensuring universality of protection requires eligibility criteria for social security benefits to be determined in such a way as to ensure that all those in need are effectively covered. The relatively low take-up rate for social assistance benefits in some EU Member States might indicate the need for a careful review of both the eligibility criteria and the ways in which benefits are delivered.”</w:t>
            </w:r>
            <w:r w:rsidRPr="00A0709F">
              <w:rPr>
                <w:rStyle w:val="FootnoteReference"/>
                <w:lang w:val="en-US"/>
              </w:rPr>
              <w:footnoteReference w:id="6"/>
            </w:r>
          </w:p>
          <w:p w:rsidR="00787989" w:rsidRPr="00A0709F" w:rsidRDefault="00787989" w:rsidP="00756E7E">
            <w:pPr>
              <w:jc w:val="both"/>
              <w:rPr>
                <w:u w:val="single"/>
                <w:lang w:val="en-US"/>
              </w:rPr>
            </w:pPr>
          </w:p>
          <w:p w:rsidR="00787989" w:rsidRPr="00A0709F" w:rsidRDefault="00787989" w:rsidP="00787989">
            <w:pPr>
              <w:jc w:val="both"/>
              <w:rPr>
                <w:lang w:val="en-US"/>
              </w:rPr>
            </w:pPr>
            <w:proofErr w:type="gramStart"/>
            <w:r w:rsidRPr="00A0709F">
              <w:rPr>
                <w:b/>
                <w:u w:val="single"/>
                <w:lang w:val="en-US"/>
              </w:rPr>
              <w:t>Level :</w:t>
            </w:r>
            <w:proofErr w:type="gramEnd"/>
            <w:r w:rsidRPr="00A0709F">
              <w:rPr>
                <w:lang w:val="en-US"/>
              </w:rPr>
              <w:t xml:space="preserve"> “According to ILO standards, an adequate level of minimum income guarantee would provide at least a basic level of income security, allowing life in dignity, taking into account wage levels and incentives to engage in declared work. Yet, several EU Member States’ schemes would not pass that test. A commonly used meas</w:t>
            </w:r>
            <w:r w:rsidRPr="00A0709F">
              <w:rPr>
                <w:lang w:val="en-US"/>
              </w:rPr>
              <w:softHyphen/>
              <w:t xml:space="preserve">ure of adequacy of </w:t>
            </w:r>
            <w:r w:rsidRPr="00A0709F">
              <w:rPr>
                <w:lang w:val="en-US"/>
              </w:rPr>
              <w:lastRenderedPageBreak/>
              <w:t>benefits is a comparison with the at-risk-of-poverty threshold, which in the EU is set at 60 per cent of the national median</w:t>
            </w:r>
            <w:r w:rsidRPr="00A0709F">
              <w:rPr>
                <w:rFonts w:ascii="Adobe Garamond Pro" w:hAnsi="Adobe Garamond Pro" w:cs="Adobe Garamond Pro"/>
                <w:color w:val="221E1F"/>
                <w:sz w:val="20"/>
                <w:szCs w:val="20"/>
                <w:lang w:val="en-US"/>
              </w:rPr>
              <w:t xml:space="preserve"> </w:t>
            </w:r>
            <w:r w:rsidRPr="00A0709F">
              <w:rPr>
                <w:lang w:val="en-US"/>
              </w:rPr>
              <w:t>equalized disposable income.</w:t>
            </w:r>
          </w:p>
          <w:p w:rsidR="00787989" w:rsidRDefault="00787989" w:rsidP="00787989">
            <w:pPr>
              <w:jc w:val="both"/>
              <w:rPr>
                <w:rFonts w:cs="Adobe Garamond Pro"/>
                <w:lang w:val="en-US"/>
              </w:rPr>
            </w:pPr>
            <w:r w:rsidRPr="00A0709F">
              <w:rPr>
                <w:lang w:val="en-US"/>
              </w:rPr>
              <w:t>[…]</w:t>
            </w:r>
            <w:r w:rsidRPr="00A0709F">
              <w:rPr>
                <w:rFonts w:cs="Adobe Garamond Pro"/>
                <w:lang w:val="en-US"/>
              </w:rPr>
              <w:t xml:space="preserve">The Social Protection Floors Recommendation, 2012 (No. 202) sets out that basic income security </w:t>
            </w:r>
            <w:r w:rsidRPr="00A0709F">
              <w:rPr>
                <w:rFonts w:cs="Adobe Garamond Pro"/>
                <w:b/>
                <w:lang w:val="en-US"/>
              </w:rPr>
              <w:t>should allow “life in dignity”</w:t>
            </w:r>
            <w:r w:rsidRPr="00A0709F">
              <w:rPr>
                <w:rFonts w:cs="Adobe Garamond Pro"/>
                <w:lang w:val="en-US"/>
              </w:rPr>
              <w:t>, which may cor</w:t>
            </w:r>
            <w:r w:rsidRPr="00A0709F">
              <w:rPr>
                <w:rFonts w:cs="Adobe Garamond Pro"/>
                <w:lang w:val="en-US"/>
              </w:rPr>
              <w:softHyphen/>
              <w:t>respond to the monetary value of a set of necessary goods and services, national poverty lines, income thresholds or other comparable thresholds established by national law or practice.”</w:t>
            </w:r>
            <w:r w:rsidRPr="00A0709F">
              <w:rPr>
                <w:rStyle w:val="FootnoteReference"/>
                <w:rFonts w:cs="Adobe Garamond Pro"/>
                <w:lang w:val="en-US"/>
              </w:rPr>
              <w:footnoteReference w:id="7"/>
            </w:r>
          </w:p>
          <w:p w:rsidR="00A0709F" w:rsidRPr="00A0709F" w:rsidRDefault="00A0709F" w:rsidP="00787989">
            <w:pPr>
              <w:jc w:val="both"/>
              <w:rPr>
                <w:rFonts w:cs="Adobe Garamond Pro"/>
                <w:lang w:val="en-US"/>
              </w:rPr>
            </w:pPr>
          </w:p>
          <w:p w:rsidR="00787989" w:rsidRPr="00A0709F" w:rsidRDefault="00787989" w:rsidP="00787989">
            <w:pPr>
              <w:jc w:val="both"/>
              <w:rPr>
                <w:lang w:val="en-US"/>
              </w:rPr>
            </w:pPr>
          </w:p>
          <w:p w:rsidR="00787989" w:rsidRPr="00A0709F" w:rsidRDefault="00BF751E" w:rsidP="00756E7E">
            <w:pPr>
              <w:jc w:val="both"/>
              <w:rPr>
                <w:lang w:val="en-US"/>
              </w:rPr>
            </w:pPr>
            <w:r w:rsidRPr="00A0709F">
              <w:rPr>
                <w:b/>
                <w:u w:val="single"/>
                <w:lang w:val="en-US"/>
              </w:rPr>
              <w:t>Instrument:</w:t>
            </w:r>
            <w:r w:rsidRPr="00A0709F">
              <w:rPr>
                <w:lang w:val="en-US"/>
              </w:rPr>
              <w:t xml:space="preserve"> </w:t>
            </w:r>
            <w:r w:rsidRPr="004B62F6">
              <w:rPr>
                <w:lang w:val="en-US"/>
              </w:rPr>
              <w:t>“A universal and adequate minimum income guarantee in each EU Member State,</w:t>
            </w:r>
            <w:r w:rsidRPr="00A0709F">
              <w:rPr>
                <w:lang w:val="en-US"/>
              </w:rPr>
              <w:t xml:space="preserve"> that takes account of national circumstances, would not only protect the most vulnerable members of society, it would also help create a level playing field at the EU level.”</w:t>
            </w:r>
            <w:r w:rsidR="00B30123" w:rsidRPr="00A0709F">
              <w:rPr>
                <w:rStyle w:val="FootnoteReference"/>
                <w:lang w:val="en-US"/>
              </w:rPr>
              <w:footnoteReference w:id="8"/>
            </w:r>
          </w:p>
          <w:p w:rsidR="009D066F" w:rsidRPr="00A0709F" w:rsidRDefault="009D066F" w:rsidP="00787989">
            <w:pPr>
              <w:jc w:val="both"/>
              <w:rPr>
                <w:lang w:val="en-US"/>
              </w:rPr>
            </w:pPr>
          </w:p>
        </w:tc>
      </w:tr>
    </w:tbl>
    <w:p w:rsidR="007500D5" w:rsidRPr="00A0709F" w:rsidRDefault="007500D5" w:rsidP="009D066F">
      <w:pPr>
        <w:rPr>
          <w:sz w:val="28"/>
          <w:szCs w:val="28"/>
          <w:u w:val="single"/>
          <w:lang w:val="en-US"/>
        </w:rPr>
      </w:pPr>
    </w:p>
    <w:sectPr w:rsidR="007500D5" w:rsidRPr="00A0709F" w:rsidSect="009D066F">
      <w:head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6F" w:rsidRDefault="009D066F" w:rsidP="009D066F">
      <w:pPr>
        <w:spacing w:after="0" w:line="240" w:lineRule="auto"/>
      </w:pPr>
      <w:r>
        <w:separator/>
      </w:r>
    </w:p>
  </w:endnote>
  <w:endnote w:type="continuationSeparator" w:id="0">
    <w:p w:rsidR="009D066F" w:rsidRDefault="009D066F" w:rsidP="009D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6F" w:rsidRDefault="009D066F" w:rsidP="009D066F">
      <w:pPr>
        <w:spacing w:after="0" w:line="240" w:lineRule="auto"/>
      </w:pPr>
      <w:r>
        <w:separator/>
      </w:r>
    </w:p>
  </w:footnote>
  <w:footnote w:type="continuationSeparator" w:id="0">
    <w:p w:rsidR="009D066F" w:rsidRDefault="009D066F" w:rsidP="009D066F">
      <w:pPr>
        <w:spacing w:after="0" w:line="240" w:lineRule="auto"/>
      </w:pPr>
      <w:r>
        <w:continuationSeparator/>
      </w:r>
    </w:p>
  </w:footnote>
  <w:footnote w:id="1">
    <w:p w:rsidR="00BF751E" w:rsidRDefault="00BF751E">
      <w:pPr>
        <w:pStyle w:val="FootnoteText"/>
      </w:pPr>
      <w:r>
        <w:rPr>
          <w:rStyle w:val="FootnoteReference"/>
        </w:rPr>
        <w:footnoteRef/>
      </w:r>
      <w:r>
        <w:t xml:space="preserve"> Social </w:t>
      </w:r>
      <w:proofErr w:type="spellStart"/>
      <w:r>
        <w:t>Platform’s</w:t>
      </w:r>
      <w:proofErr w:type="spellEnd"/>
      <w:r>
        <w:t xml:space="preserve"> </w:t>
      </w:r>
      <w:hyperlink r:id="rId1" w:history="1">
        <w:r w:rsidRPr="002D3EBF">
          <w:rPr>
            <w:rStyle w:val="Hyperlink"/>
          </w:rPr>
          <w:t xml:space="preserve">position </w:t>
        </w:r>
        <w:proofErr w:type="spellStart"/>
        <w:r w:rsidRPr="002D3EBF">
          <w:rPr>
            <w:rStyle w:val="Hyperlink"/>
          </w:rPr>
          <w:t>paper</w:t>
        </w:r>
        <w:proofErr w:type="spellEnd"/>
        <w:r w:rsidRPr="002D3EBF">
          <w:rPr>
            <w:rStyle w:val="Hyperlink"/>
          </w:rPr>
          <w:t xml:space="preserve"> on </w:t>
        </w:r>
        <w:proofErr w:type="spellStart"/>
        <w:r w:rsidRPr="002D3EBF">
          <w:rPr>
            <w:rStyle w:val="Hyperlink"/>
          </w:rPr>
          <w:t>an</w:t>
        </w:r>
        <w:proofErr w:type="spellEnd"/>
        <w:r w:rsidRPr="002D3EBF">
          <w:rPr>
            <w:rStyle w:val="Hyperlink"/>
          </w:rPr>
          <w:t xml:space="preserve"> EU Directive on </w:t>
        </w:r>
        <w:proofErr w:type="spellStart"/>
        <w:r w:rsidRPr="002D3EBF">
          <w:rPr>
            <w:rStyle w:val="Hyperlink"/>
          </w:rPr>
          <w:t>Adequate</w:t>
        </w:r>
        <w:proofErr w:type="spellEnd"/>
        <w:r w:rsidRPr="002D3EBF">
          <w:rPr>
            <w:rStyle w:val="Hyperlink"/>
          </w:rPr>
          <w:t xml:space="preserve"> Minimum </w:t>
        </w:r>
        <w:proofErr w:type="spellStart"/>
        <w:r w:rsidRPr="002D3EBF">
          <w:rPr>
            <w:rStyle w:val="Hyperlink"/>
          </w:rPr>
          <w:t>Income</w:t>
        </w:r>
        <w:proofErr w:type="spellEnd"/>
      </w:hyperlink>
      <w:r>
        <w:t>, 2014.</w:t>
      </w:r>
    </w:p>
  </w:footnote>
  <w:footnote w:id="2">
    <w:p w:rsidR="00787989" w:rsidRDefault="00787989">
      <w:pPr>
        <w:pStyle w:val="FootnoteText"/>
      </w:pPr>
      <w:r>
        <w:rPr>
          <w:rStyle w:val="FootnoteReference"/>
        </w:rPr>
        <w:footnoteRef/>
      </w:r>
      <w:r>
        <w:t xml:space="preserve"> Social </w:t>
      </w:r>
      <w:proofErr w:type="spellStart"/>
      <w:r>
        <w:t>Platform’s</w:t>
      </w:r>
      <w:proofErr w:type="spellEnd"/>
      <w:r>
        <w:t xml:space="preserve"> </w:t>
      </w:r>
      <w:hyperlink r:id="rId2" w:history="1">
        <w:r w:rsidRPr="002D3EBF">
          <w:rPr>
            <w:rStyle w:val="Hyperlink"/>
          </w:rPr>
          <w:t xml:space="preserve">position </w:t>
        </w:r>
        <w:proofErr w:type="spellStart"/>
        <w:r w:rsidRPr="002D3EBF">
          <w:rPr>
            <w:rStyle w:val="Hyperlink"/>
          </w:rPr>
          <w:t>paper</w:t>
        </w:r>
        <w:proofErr w:type="spellEnd"/>
        <w:r w:rsidRPr="002D3EBF">
          <w:rPr>
            <w:rStyle w:val="Hyperlink"/>
          </w:rPr>
          <w:t xml:space="preserve"> on </w:t>
        </w:r>
        <w:proofErr w:type="spellStart"/>
        <w:r w:rsidRPr="002D3EBF">
          <w:rPr>
            <w:rStyle w:val="Hyperlink"/>
          </w:rPr>
          <w:t>an</w:t>
        </w:r>
        <w:proofErr w:type="spellEnd"/>
        <w:r w:rsidRPr="002D3EBF">
          <w:rPr>
            <w:rStyle w:val="Hyperlink"/>
          </w:rPr>
          <w:t xml:space="preserve"> EU Directive on </w:t>
        </w:r>
        <w:proofErr w:type="spellStart"/>
        <w:r w:rsidRPr="002D3EBF">
          <w:rPr>
            <w:rStyle w:val="Hyperlink"/>
          </w:rPr>
          <w:t>Adequate</w:t>
        </w:r>
        <w:proofErr w:type="spellEnd"/>
        <w:r w:rsidRPr="002D3EBF">
          <w:rPr>
            <w:rStyle w:val="Hyperlink"/>
          </w:rPr>
          <w:t xml:space="preserve"> Minimum </w:t>
        </w:r>
        <w:proofErr w:type="spellStart"/>
        <w:r w:rsidRPr="002D3EBF">
          <w:rPr>
            <w:rStyle w:val="Hyperlink"/>
          </w:rPr>
          <w:t>Income</w:t>
        </w:r>
        <w:proofErr w:type="spellEnd"/>
      </w:hyperlink>
      <w:r>
        <w:t>, 2014.</w:t>
      </w:r>
    </w:p>
  </w:footnote>
  <w:footnote w:id="3">
    <w:p w:rsidR="002D3EBF" w:rsidRDefault="002D3EBF">
      <w:pPr>
        <w:pStyle w:val="FootnoteText"/>
      </w:pPr>
      <w:r>
        <w:rPr>
          <w:rStyle w:val="FootnoteReference"/>
        </w:rPr>
        <w:footnoteRef/>
      </w:r>
      <w:r>
        <w:t xml:space="preserve"> Social </w:t>
      </w:r>
      <w:proofErr w:type="spellStart"/>
      <w:r>
        <w:t>Platform’s</w:t>
      </w:r>
      <w:proofErr w:type="spellEnd"/>
      <w:r>
        <w:t xml:space="preserve"> </w:t>
      </w:r>
      <w:hyperlink r:id="rId3" w:history="1">
        <w:r w:rsidRPr="002D3EBF">
          <w:rPr>
            <w:rStyle w:val="Hyperlink"/>
          </w:rPr>
          <w:t>positi</w:t>
        </w:r>
        <w:bookmarkStart w:id="0" w:name="_GoBack"/>
        <w:bookmarkEnd w:id="0"/>
        <w:r w:rsidRPr="002D3EBF">
          <w:rPr>
            <w:rStyle w:val="Hyperlink"/>
          </w:rPr>
          <w:t>o</w:t>
        </w:r>
        <w:r w:rsidRPr="002D3EBF">
          <w:rPr>
            <w:rStyle w:val="Hyperlink"/>
          </w:rPr>
          <w:t xml:space="preserve">n </w:t>
        </w:r>
        <w:proofErr w:type="spellStart"/>
        <w:r w:rsidRPr="002D3EBF">
          <w:rPr>
            <w:rStyle w:val="Hyperlink"/>
          </w:rPr>
          <w:t>paper</w:t>
        </w:r>
        <w:proofErr w:type="spellEnd"/>
        <w:r w:rsidRPr="002D3EBF">
          <w:rPr>
            <w:rStyle w:val="Hyperlink"/>
          </w:rPr>
          <w:t xml:space="preserve"> on </w:t>
        </w:r>
        <w:proofErr w:type="spellStart"/>
        <w:r w:rsidRPr="002D3EBF">
          <w:rPr>
            <w:rStyle w:val="Hyperlink"/>
          </w:rPr>
          <w:t>an</w:t>
        </w:r>
        <w:proofErr w:type="spellEnd"/>
        <w:r w:rsidRPr="002D3EBF">
          <w:rPr>
            <w:rStyle w:val="Hyperlink"/>
          </w:rPr>
          <w:t xml:space="preserve"> EU Directive on </w:t>
        </w:r>
        <w:proofErr w:type="spellStart"/>
        <w:r w:rsidRPr="002D3EBF">
          <w:rPr>
            <w:rStyle w:val="Hyperlink"/>
          </w:rPr>
          <w:t>Adequate</w:t>
        </w:r>
        <w:proofErr w:type="spellEnd"/>
        <w:r w:rsidRPr="002D3EBF">
          <w:rPr>
            <w:rStyle w:val="Hyperlink"/>
          </w:rPr>
          <w:t xml:space="preserve"> Minimum </w:t>
        </w:r>
        <w:proofErr w:type="spellStart"/>
        <w:r w:rsidRPr="002D3EBF">
          <w:rPr>
            <w:rStyle w:val="Hyperlink"/>
          </w:rPr>
          <w:t>Income</w:t>
        </w:r>
        <w:proofErr w:type="spellEnd"/>
      </w:hyperlink>
      <w:r>
        <w:t>, 2014.</w:t>
      </w:r>
    </w:p>
  </w:footnote>
  <w:footnote w:id="4">
    <w:p w:rsidR="00285F8D" w:rsidRDefault="00285F8D">
      <w:pPr>
        <w:pStyle w:val="FootnoteText"/>
      </w:pPr>
      <w:r>
        <w:rPr>
          <w:rStyle w:val="FootnoteReference"/>
        </w:rPr>
        <w:footnoteRef/>
      </w:r>
      <w:r>
        <w:t xml:space="preserve"> </w:t>
      </w:r>
      <w:hyperlink r:id="rId4" w:history="1">
        <w:r w:rsidRPr="00C803A8">
          <w:rPr>
            <w:rStyle w:val="Hyperlink"/>
          </w:rPr>
          <w:t>ETUC Action Programme 2015-2019</w:t>
        </w:r>
      </w:hyperlink>
      <w:r w:rsidRPr="00C803A8">
        <w:t>.</w:t>
      </w:r>
    </w:p>
  </w:footnote>
  <w:footnote w:id="5">
    <w:p w:rsidR="004052FB" w:rsidRPr="00C803A8" w:rsidRDefault="004052FB">
      <w:pPr>
        <w:pStyle w:val="FootnoteText"/>
        <w:rPr>
          <w:lang w:val="en-US"/>
        </w:rPr>
      </w:pPr>
      <w:r>
        <w:rPr>
          <w:rStyle w:val="FootnoteReference"/>
        </w:rPr>
        <w:footnoteRef/>
      </w:r>
      <w:r w:rsidRPr="00C803A8">
        <w:rPr>
          <w:lang w:val="en-US"/>
        </w:rPr>
        <w:t xml:space="preserve"> </w:t>
      </w:r>
      <w:hyperlink r:id="rId5" w:history="1">
        <w:proofErr w:type="gramStart"/>
        <w:r w:rsidR="00C803A8" w:rsidRPr="00C803A8">
          <w:rPr>
            <w:rStyle w:val="Hyperlink"/>
            <w:lang w:val="en-US"/>
          </w:rPr>
          <w:t>ETUC Pos</w:t>
        </w:r>
        <w:r w:rsidR="00C803A8" w:rsidRPr="00C803A8">
          <w:rPr>
            <w:rStyle w:val="Hyperlink"/>
            <w:lang w:val="en-US"/>
          </w:rPr>
          <w:t>i</w:t>
        </w:r>
        <w:r w:rsidR="00C803A8" w:rsidRPr="00C803A8">
          <w:rPr>
            <w:rStyle w:val="Hyperlink"/>
            <w:lang w:val="en-US"/>
          </w:rPr>
          <w:t>tion on the European Pillar of Social Rights Working for a Better Deal for All Workers</w:t>
        </w:r>
      </w:hyperlink>
      <w:r w:rsidR="00C803A8">
        <w:rPr>
          <w:lang w:val="en-US"/>
        </w:rPr>
        <w:t>, 2016.</w:t>
      </w:r>
      <w:proofErr w:type="gramEnd"/>
    </w:p>
  </w:footnote>
  <w:footnote w:id="6">
    <w:p w:rsidR="00787989" w:rsidRPr="00614944" w:rsidRDefault="00787989" w:rsidP="00787989">
      <w:pPr>
        <w:pStyle w:val="FootnoteText"/>
        <w:rPr>
          <w:lang w:val="en-US"/>
        </w:rPr>
      </w:pPr>
      <w:r>
        <w:rPr>
          <w:rStyle w:val="FootnoteReference"/>
        </w:rPr>
        <w:footnoteRef/>
      </w:r>
      <w:r w:rsidRPr="00614944">
        <w:rPr>
          <w:lang w:val="en-US"/>
        </w:rPr>
        <w:t xml:space="preserve"> </w:t>
      </w:r>
      <w:proofErr w:type="gramStart"/>
      <w:r w:rsidRPr="00614944">
        <w:rPr>
          <w:lang w:val="en-US"/>
        </w:rPr>
        <w:t xml:space="preserve">ILO, </w:t>
      </w:r>
      <w:hyperlink r:id="rId6" w:history="1">
        <w:r w:rsidRPr="00614944">
          <w:rPr>
            <w:rStyle w:val="Hyperlink"/>
            <w:lang w:val="en-US"/>
          </w:rPr>
          <w:t xml:space="preserve">Building a Social Pillar </w:t>
        </w:r>
        <w:r w:rsidRPr="00614944">
          <w:rPr>
            <w:rStyle w:val="Hyperlink"/>
            <w:lang w:val="en-US"/>
          </w:rPr>
          <w:t>f</w:t>
        </w:r>
        <w:r w:rsidRPr="00614944">
          <w:rPr>
            <w:rStyle w:val="Hyperlink"/>
            <w:lang w:val="en-US"/>
          </w:rPr>
          <w:t>or European Convergence</w:t>
        </w:r>
      </w:hyperlink>
      <w:r w:rsidRPr="00614944">
        <w:rPr>
          <w:lang w:val="en-US"/>
        </w:rPr>
        <w:t>, 2016.</w:t>
      </w:r>
      <w:proofErr w:type="gramEnd"/>
    </w:p>
  </w:footnote>
  <w:footnote w:id="7">
    <w:p w:rsidR="00787989" w:rsidRPr="00787989" w:rsidRDefault="00787989">
      <w:pPr>
        <w:pStyle w:val="FootnoteText"/>
        <w:rPr>
          <w:lang w:val="en-US"/>
        </w:rPr>
      </w:pPr>
      <w:r>
        <w:rPr>
          <w:rStyle w:val="FootnoteReference"/>
        </w:rPr>
        <w:footnoteRef/>
      </w:r>
      <w:r w:rsidRPr="00787989">
        <w:rPr>
          <w:lang w:val="en-US"/>
        </w:rPr>
        <w:t xml:space="preserve"> </w:t>
      </w:r>
      <w:proofErr w:type="gramStart"/>
      <w:r w:rsidRPr="00756E7E">
        <w:rPr>
          <w:lang w:val="en-US"/>
        </w:rPr>
        <w:t xml:space="preserve">ILO, </w:t>
      </w:r>
      <w:hyperlink r:id="rId7" w:history="1">
        <w:r w:rsidRPr="00756E7E">
          <w:rPr>
            <w:rStyle w:val="Hyperlink"/>
            <w:lang w:val="en-US"/>
          </w:rPr>
          <w:t>Building a Social Pillar for European Convergence</w:t>
        </w:r>
      </w:hyperlink>
      <w:r w:rsidRPr="00756E7E">
        <w:rPr>
          <w:lang w:val="en-US"/>
        </w:rPr>
        <w:t>, 2016.</w:t>
      </w:r>
      <w:proofErr w:type="gramEnd"/>
    </w:p>
  </w:footnote>
  <w:footnote w:id="8">
    <w:p w:rsidR="00B30123" w:rsidRPr="00B30123" w:rsidRDefault="00B30123">
      <w:pPr>
        <w:pStyle w:val="FootnoteText"/>
        <w:rPr>
          <w:lang w:val="en-US"/>
        </w:rPr>
      </w:pPr>
      <w:r>
        <w:rPr>
          <w:rStyle w:val="FootnoteReference"/>
        </w:rPr>
        <w:footnoteRef/>
      </w:r>
      <w:r w:rsidRPr="00B30123">
        <w:rPr>
          <w:lang w:val="en-US"/>
        </w:rPr>
        <w:t xml:space="preserve"> </w:t>
      </w:r>
      <w:proofErr w:type="gramStart"/>
      <w:r w:rsidRPr="00756E7E">
        <w:rPr>
          <w:lang w:val="en-US"/>
        </w:rPr>
        <w:t xml:space="preserve">ILO, </w:t>
      </w:r>
      <w:hyperlink r:id="rId8" w:history="1">
        <w:r w:rsidRPr="00756E7E">
          <w:rPr>
            <w:rStyle w:val="Hyperlink"/>
            <w:lang w:val="en-US"/>
          </w:rPr>
          <w:t>Building a Social Pillar for European Convergence</w:t>
        </w:r>
      </w:hyperlink>
      <w:r w:rsidRPr="00756E7E">
        <w:rPr>
          <w:lang w:val="en-US"/>
        </w:rPr>
        <w: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6F" w:rsidRPr="009D066F" w:rsidRDefault="009D066F">
    <w:pPr>
      <w:pStyle w:val="Header"/>
      <w:rPr>
        <w:b/>
        <w:sz w:val="28"/>
        <w:szCs w:val="28"/>
      </w:rPr>
    </w:pPr>
    <w:r w:rsidRPr="009D066F">
      <w:rPr>
        <w:b/>
        <w:sz w:val="28"/>
        <w:szCs w:val="28"/>
      </w:rPr>
      <w:t xml:space="preserve">Minimum </w:t>
    </w:r>
    <w:proofErr w:type="spellStart"/>
    <w:r w:rsidRPr="009D066F">
      <w:rPr>
        <w:b/>
        <w:sz w:val="28"/>
        <w:szCs w:val="28"/>
      </w:rPr>
      <w:t>income</w:t>
    </w:r>
    <w:proofErr w:type="spellEnd"/>
    <w:r w:rsidRPr="009D066F">
      <w:rPr>
        <w:b/>
        <w:sz w:val="28"/>
        <w:szCs w:val="28"/>
      </w:rPr>
      <w:t xml:space="preserve"> </w:t>
    </w:r>
    <w:proofErr w:type="spellStart"/>
    <w:r w:rsidRPr="009D066F">
      <w:rPr>
        <w:b/>
        <w:sz w:val="28"/>
        <w:szCs w:val="28"/>
      </w:rPr>
      <w:t>schemes</w:t>
    </w:r>
    <w:proofErr w:type="spellEnd"/>
  </w:p>
  <w:p w:rsidR="009D066F" w:rsidRDefault="009D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1FB9"/>
    <w:multiLevelType w:val="hybridMultilevel"/>
    <w:tmpl w:val="4F1A1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C1167A9"/>
    <w:multiLevelType w:val="hybridMultilevel"/>
    <w:tmpl w:val="328A22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7F52107"/>
    <w:multiLevelType w:val="hybridMultilevel"/>
    <w:tmpl w:val="E6EC97DA"/>
    <w:lvl w:ilvl="0" w:tplc="EF3C89D2">
      <w:start w:val="1"/>
      <w:numFmt w:val="decimal"/>
      <w:lvlText w:val="%1)"/>
      <w:lvlJc w:val="left"/>
      <w:pPr>
        <w:ind w:left="720" w:hanging="360"/>
      </w:pPr>
      <w:rPr>
        <w:rFonts w:asciiTheme="minorHAnsi" w:eastAsiaTheme="minorHAnsi" w:hAnsiTheme="minorHAnsi" w:cstheme="minorBid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6F"/>
    <w:rsid w:val="000D33F3"/>
    <w:rsid w:val="00285F8D"/>
    <w:rsid w:val="002D3EBF"/>
    <w:rsid w:val="004052FB"/>
    <w:rsid w:val="004B62F6"/>
    <w:rsid w:val="00605F55"/>
    <w:rsid w:val="00614944"/>
    <w:rsid w:val="007500D5"/>
    <w:rsid w:val="00756E7E"/>
    <w:rsid w:val="00787989"/>
    <w:rsid w:val="00853A0A"/>
    <w:rsid w:val="009D066F"/>
    <w:rsid w:val="00A0709F"/>
    <w:rsid w:val="00B30123"/>
    <w:rsid w:val="00BF751E"/>
    <w:rsid w:val="00C803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6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66F"/>
  </w:style>
  <w:style w:type="paragraph" w:styleId="Footer">
    <w:name w:val="footer"/>
    <w:basedOn w:val="Normal"/>
    <w:link w:val="FooterChar"/>
    <w:uiPriority w:val="99"/>
    <w:unhideWhenUsed/>
    <w:rsid w:val="009D06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66F"/>
  </w:style>
  <w:style w:type="paragraph" w:styleId="ListParagraph">
    <w:name w:val="List Paragraph"/>
    <w:basedOn w:val="Normal"/>
    <w:uiPriority w:val="34"/>
    <w:qFormat/>
    <w:rsid w:val="009D066F"/>
    <w:pPr>
      <w:ind w:left="720"/>
      <w:contextualSpacing/>
    </w:pPr>
  </w:style>
  <w:style w:type="paragraph" w:styleId="BalloonText">
    <w:name w:val="Balloon Text"/>
    <w:basedOn w:val="Normal"/>
    <w:link w:val="BalloonTextChar"/>
    <w:uiPriority w:val="99"/>
    <w:semiHidden/>
    <w:unhideWhenUsed/>
    <w:rsid w:val="009D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6F"/>
    <w:rPr>
      <w:rFonts w:ascii="Tahoma" w:hAnsi="Tahoma" w:cs="Tahoma"/>
      <w:sz w:val="16"/>
      <w:szCs w:val="16"/>
    </w:rPr>
  </w:style>
  <w:style w:type="paragraph" w:styleId="FootnoteText">
    <w:name w:val="footnote text"/>
    <w:basedOn w:val="Normal"/>
    <w:link w:val="FootnoteTextChar"/>
    <w:uiPriority w:val="99"/>
    <w:semiHidden/>
    <w:unhideWhenUsed/>
    <w:rsid w:val="00756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E7E"/>
    <w:rPr>
      <w:sz w:val="20"/>
      <w:szCs w:val="20"/>
    </w:rPr>
  </w:style>
  <w:style w:type="character" w:styleId="FootnoteReference">
    <w:name w:val="footnote reference"/>
    <w:basedOn w:val="DefaultParagraphFont"/>
    <w:uiPriority w:val="99"/>
    <w:semiHidden/>
    <w:unhideWhenUsed/>
    <w:rsid w:val="00756E7E"/>
    <w:rPr>
      <w:vertAlign w:val="superscript"/>
    </w:rPr>
  </w:style>
  <w:style w:type="character" w:styleId="Hyperlink">
    <w:name w:val="Hyperlink"/>
    <w:basedOn w:val="DefaultParagraphFont"/>
    <w:uiPriority w:val="99"/>
    <w:unhideWhenUsed/>
    <w:rsid w:val="00756E7E"/>
    <w:rPr>
      <w:color w:val="0000FF" w:themeColor="hyperlink"/>
      <w:u w:val="single"/>
    </w:rPr>
  </w:style>
  <w:style w:type="character" w:styleId="FollowedHyperlink">
    <w:name w:val="FollowedHyperlink"/>
    <w:basedOn w:val="DefaultParagraphFont"/>
    <w:uiPriority w:val="99"/>
    <w:semiHidden/>
    <w:unhideWhenUsed/>
    <w:rsid w:val="00605F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6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66F"/>
  </w:style>
  <w:style w:type="paragraph" w:styleId="Footer">
    <w:name w:val="footer"/>
    <w:basedOn w:val="Normal"/>
    <w:link w:val="FooterChar"/>
    <w:uiPriority w:val="99"/>
    <w:unhideWhenUsed/>
    <w:rsid w:val="009D06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66F"/>
  </w:style>
  <w:style w:type="paragraph" w:styleId="ListParagraph">
    <w:name w:val="List Paragraph"/>
    <w:basedOn w:val="Normal"/>
    <w:uiPriority w:val="34"/>
    <w:qFormat/>
    <w:rsid w:val="009D066F"/>
    <w:pPr>
      <w:ind w:left="720"/>
      <w:contextualSpacing/>
    </w:pPr>
  </w:style>
  <w:style w:type="paragraph" w:styleId="BalloonText">
    <w:name w:val="Balloon Text"/>
    <w:basedOn w:val="Normal"/>
    <w:link w:val="BalloonTextChar"/>
    <w:uiPriority w:val="99"/>
    <w:semiHidden/>
    <w:unhideWhenUsed/>
    <w:rsid w:val="009D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6F"/>
    <w:rPr>
      <w:rFonts w:ascii="Tahoma" w:hAnsi="Tahoma" w:cs="Tahoma"/>
      <w:sz w:val="16"/>
      <w:szCs w:val="16"/>
    </w:rPr>
  </w:style>
  <w:style w:type="paragraph" w:styleId="FootnoteText">
    <w:name w:val="footnote text"/>
    <w:basedOn w:val="Normal"/>
    <w:link w:val="FootnoteTextChar"/>
    <w:uiPriority w:val="99"/>
    <w:semiHidden/>
    <w:unhideWhenUsed/>
    <w:rsid w:val="00756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E7E"/>
    <w:rPr>
      <w:sz w:val="20"/>
      <w:szCs w:val="20"/>
    </w:rPr>
  </w:style>
  <w:style w:type="character" w:styleId="FootnoteReference">
    <w:name w:val="footnote reference"/>
    <w:basedOn w:val="DefaultParagraphFont"/>
    <w:uiPriority w:val="99"/>
    <w:semiHidden/>
    <w:unhideWhenUsed/>
    <w:rsid w:val="00756E7E"/>
    <w:rPr>
      <w:vertAlign w:val="superscript"/>
    </w:rPr>
  </w:style>
  <w:style w:type="character" w:styleId="Hyperlink">
    <w:name w:val="Hyperlink"/>
    <w:basedOn w:val="DefaultParagraphFont"/>
    <w:uiPriority w:val="99"/>
    <w:unhideWhenUsed/>
    <w:rsid w:val="00756E7E"/>
    <w:rPr>
      <w:color w:val="0000FF" w:themeColor="hyperlink"/>
      <w:u w:val="single"/>
    </w:rPr>
  </w:style>
  <w:style w:type="character" w:styleId="FollowedHyperlink">
    <w:name w:val="FollowedHyperlink"/>
    <w:basedOn w:val="DefaultParagraphFont"/>
    <w:uiPriority w:val="99"/>
    <w:semiHidden/>
    <w:unhideWhenUsed/>
    <w:rsid w:val="00605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wcmsp5/groups/public/---dgreports/---dcomm/---publ/documents/publication/wcms_490959.pdf" TargetMode="External"/><Relationship Id="rId3" Type="http://schemas.openxmlformats.org/officeDocument/2006/relationships/hyperlink" Target="http://www.socialplatform.org/wp-content/uploads/2014/06/20140624_SocialPlatform_PositionPaper_Directive-Minimum-Income.pdf" TargetMode="External"/><Relationship Id="rId7" Type="http://schemas.openxmlformats.org/officeDocument/2006/relationships/hyperlink" Target="http://www.ilo.org/wcmsp5/groups/public/---dgreports/---dcomm/---publ/documents/publication/wcms_490959.pdf" TargetMode="External"/><Relationship Id="rId2" Type="http://schemas.openxmlformats.org/officeDocument/2006/relationships/hyperlink" Target="http://www.socialplatform.org/wp-content/uploads/2014/06/20140624_SocialPlatform_PositionPaper_Directive-Minimum-Income.pdf" TargetMode="External"/><Relationship Id="rId1" Type="http://schemas.openxmlformats.org/officeDocument/2006/relationships/hyperlink" Target="http://www.socialplatform.org/wp-content/uploads/2014/06/20140624_SocialPlatform_PositionPaper_Directive-Minimum-Income.pdf" TargetMode="External"/><Relationship Id="rId6" Type="http://schemas.openxmlformats.org/officeDocument/2006/relationships/hyperlink" Target="http://www.ilo.org/wcmsp5/groups/public/---dgreports/---dcomm/---publ/documents/publication/wcms_490959.pdf" TargetMode="External"/><Relationship Id="rId5" Type="http://schemas.openxmlformats.org/officeDocument/2006/relationships/hyperlink" Target="https://www.etuc.org/sites/www.etuc.org/files/document/files/european_pillar_of_social_rights__0.pdf" TargetMode="External"/><Relationship Id="rId4" Type="http://schemas.openxmlformats.org/officeDocument/2006/relationships/hyperlink" Target="https://www.etuc.org/sites/www.etuc.org/files/publication/files/ces-congrecs_2015-rapport-uk-ld_def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9F03-5C1A-4819-8C0D-C2CC42A7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494</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Gehrenbeck</dc:creator>
  <cp:lastModifiedBy>Maxime Gehrenbeck</cp:lastModifiedBy>
  <cp:revision>13</cp:revision>
  <dcterms:created xsi:type="dcterms:W3CDTF">2016-11-30T14:52:00Z</dcterms:created>
  <dcterms:modified xsi:type="dcterms:W3CDTF">2016-12-05T13:37:00Z</dcterms:modified>
</cp:coreProperties>
</file>